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DAD" w:rsidRDefault="00445DAD" w:rsidP="00445DAD">
      <w:pPr>
        <w:jc w:val="center"/>
        <w:rPr>
          <w:rFonts w:ascii="Arial" w:hAnsi="Arial" w:cs="Arial"/>
          <w:sz w:val="24"/>
        </w:rPr>
      </w:pPr>
    </w:p>
    <w:p w:rsidR="00445DAD" w:rsidRDefault="00445DAD" w:rsidP="00445DAD">
      <w:pPr>
        <w:jc w:val="center"/>
        <w:rPr>
          <w:rFonts w:ascii="Arial" w:hAnsi="Arial" w:cs="Arial"/>
          <w:sz w:val="24"/>
        </w:rPr>
      </w:pPr>
    </w:p>
    <w:p w:rsidR="002F751E" w:rsidRDefault="00445DAD" w:rsidP="00445DAD">
      <w:pPr>
        <w:jc w:val="center"/>
        <w:rPr>
          <w:rFonts w:ascii="Arial" w:hAnsi="Arial" w:cs="Arial"/>
          <w:sz w:val="24"/>
        </w:rPr>
      </w:pPr>
      <w:r w:rsidRPr="00445DAD">
        <w:rPr>
          <w:rFonts w:ascii="Arial" w:hAnsi="Arial" w:cs="Arial"/>
          <w:sz w:val="24"/>
        </w:rPr>
        <w:t>Projektowany znak aktywny D-6</w:t>
      </w:r>
    </w:p>
    <w:p w:rsidR="005A689D" w:rsidRPr="00445DAD" w:rsidRDefault="005A689D" w:rsidP="00445DAD">
      <w:pPr>
        <w:jc w:val="center"/>
        <w:rPr>
          <w:rFonts w:ascii="Arial" w:hAnsi="Arial" w:cs="Arial"/>
          <w:sz w:val="24"/>
        </w:rPr>
      </w:pPr>
    </w:p>
    <w:p w:rsidR="00206BF9" w:rsidRDefault="00445DAD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Parametry techniczne znaku aktywnego D-6 </w:t>
      </w:r>
    </w:p>
    <w:tbl>
      <w:tblPr>
        <w:tblStyle w:val="Tabela-Siatka"/>
        <w:tblW w:w="0" w:type="auto"/>
        <w:tblInd w:w="1668" w:type="dxa"/>
        <w:tblLook w:val="04A0"/>
      </w:tblPr>
      <w:tblGrid>
        <w:gridCol w:w="4961"/>
        <w:gridCol w:w="1701"/>
      </w:tblGrid>
      <w:tr w:rsidR="00206BF9" w:rsidTr="00445DAD">
        <w:tc>
          <w:tcPr>
            <w:tcW w:w="4961" w:type="dxa"/>
          </w:tcPr>
          <w:p w:rsidR="00206BF9" w:rsidRPr="00445DAD" w:rsidRDefault="00206BF9">
            <w:pPr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>Wysokość masztu</w:t>
            </w:r>
          </w:p>
        </w:tc>
        <w:tc>
          <w:tcPr>
            <w:tcW w:w="1701" w:type="dxa"/>
          </w:tcPr>
          <w:p w:rsidR="00206BF9" w:rsidRPr="00445DAD" w:rsidRDefault="00206BF9" w:rsidP="00445D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 xml:space="preserve">4 </w:t>
            </w:r>
            <w:r w:rsidR="005A689D">
              <w:rPr>
                <w:rFonts w:ascii="Arial" w:hAnsi="Arial" w:cs="Arial"/>
                <w:sz w:val="16"/>
                <w:szCs w:val="16"/>
              </w:rPr>
              <w:t xml:space="preserve">– 4,5 </w:t>
            </w:r>
            <w:r w:rsidRPr="00445DAD">
              <w:rPr>
                <w:rFonts w:ascii="Arial" w:hAnsi="Arial" w:cs="Arial"/>
                <w:sz w:val="16"/>
                <w:szCs w:val="16"/>
              </w:rPr>
              <w:t>m</w:t>
            </w:r>
          </w:p>
        </w:tc>
      </w:tr>
      <w:tr w:rsidR="00206BF9" w:rsidTr="00445DAD">
        <w:tc>
          <w:tcPr>
            <w:tcW w:w="4961" w:type="dxa"/>
          </w:tcPr>
          <w:p w:rsidR="00206BF9" w:rsidRPr="00445DAD" w:rsidRDefault="00206BF9">
            <w:pPr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>Sygnalizatory migające naprzemienne pomarańczowe LED</w:t>
            </w:r>
          </w:p>
        </w:tc>
        <w:tc>
          <w:tcPr>
            <w:tcW w:w="1701" w:type="dxa"/>
          </w:tcPr>
          <w:p w:rsidR="00206BF9" w:rsidRPr="00445DAD" w:rsidRDefault="00206BF9" w:rsidP="00445D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>2x200 mm</w:t>
            </w:r>
          </w:p>
        </w:tc>
      </w:tr>
      <w:tr w:rsidR="00206BF9" w:rsidTr="00445DAD">
        <w:tc>
          <w:tcPr>
            <w:tcW w:w="4961" w:type="dxa"/>
          </w:tcPr>
          <w:p w:rsidR="00206BF9" w:rsidRPr="00445DAD" w:rsidRDefault="00206BF9">
            <w:pPr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>Znak D-6 kaseton podświetlony biały LED</w:t>
            </w:r>
          </w:p>
        </w:tc>
        <w:tc>
          <w:tcPr>
            <w:tcW w:w="1701" w:type="dxa"/>
          </w:tcPr>
          <w:p w:rsidR="00206BF9" w:rsidRPr="00445DAD" w:rsidRDefault="00206BF9" w:rsidP="00445D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>600x600 mm</w:t>
            </w:r>
          </w:p>
        </w:tc>
      </w:tr>
      <w:tr w:rsidR="00206BF9" w:rsidTr="00445DAD">
        <w:tc>
          <w:tcPr>
            <w:tcW w:w="4961" w:type="dxa"/>
          </w:tcPr>
          <w:p w:rsidR="00206BF9" w:rsidRPr="00445DAD" w:rsidRDefault="00206BF9">
            <w:pPr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>Kaseton włączany czujnikiem zmierzchowym</w:t>
            </w:r>
          </w:p>
        </w:tc>
        <w:tc>
          <w:tcPr>
            <w:tcW w:w="1701" w:type="dxa"/>
          </w:tcPr>
          <w:p w:rsidR="00206BF9" w:rsidRPr="00445DAD" w:rsidRDefault="00206BF9" w:rsidP="00445D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</w:tr>
      <w:tr w:rsidR="00206BF9" w:rsidTr="00445DAD">
        <w:tc>
          <w:tcPr>
            <w:tcW w:w="4961" w:type="dxa"/>
          </w:tcPr>
          <w:p w:rsidR="00206BF9" w:rsidRPr="00445DAD" w:rsidRDefault="00206BF9">
            <w:pPr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>Trwałość źródeł światła</w:t>
            </w:r>
          </w:p>
        </w:tc>
        <w:tc>
          <w:tcPr>
            <w:tcW w:w="1701" w:type="dxa"/>
          </w:tcPr>
          <w:p w:rsidR="00206BF9" w:rsidRPr="00445DAD" w:rsidRDefault="00206BF9" w:rsidP="00445D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>10 000 h</w:t>
            </w:r>
          </w:p>
        </w:tc>
      </w:tr>
      <w:tr w:rsidR="00206BF9" w:rsidTr="00445DAD">
        <w:tc>
          <w:tcPr>
            <w:tcW w:w="4961" w:type="dxa"/>
          </w:tcPr>
          <w:p w:rsidR="00206BF9" w:rsidRPr="00445DAD" w:rsidRDefault="00206BF9">
            <w:pPr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>Napięcie zasilania</w:t>
            </w:r>
          </w:p>
        </w:tc>
        <w:tc>
          <w:tcPr>
            <w:tcW w:w="1701" w:type="dxa"/>
          </w:tcPr>
          <w:p w:rsidR="00206BF9" w:rsidRPr="00445DAD" w:rsidRDefault="00206BF9" w:rsidP="00445D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>12 V</w:t>
            </w:r>
          </w:p>
        </w:tc>
      </w:tr>
      <w:tr w:rsidR="00206BF9" w:rsidTr="00445DAD">
        <w:tc>
          <w:tcPr>
            <w:tcW w:w="4961" w:type="dxa"/>
          </w:tcPr>
          <w:p w:rsidR="00206BF9" w:rsidRPr="00445DAD" w:rsidRDefault="00206BF9">
            <w:pPr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>Pojemność akumulatorów</w:t>
            </w:r>
          </w:p>
        </w:tc>
        <w:tc>
          <w:tcPr>
            <w:tcW w:w="1701" w:type="dxa"/>
          </w:tcPr>
          <w:p w:rsidR="00206BF9" w:rsidRPr="00445DAD" w:rsidRDefault="00206BF9" w:rsidP="00445D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 xml:space="preserve">75 – 100 </w:t>
            </w:r>
            <w:proofErr w:type="spellStart"/>
            <w:r w:rsidRPr="00445DAD">
              <w:rPr>
                <w:rFonts w:ascii="Arial" w:hAnsi="Arial" w:cs="Arial"/>
                <w:sz w:val="16"/>
                <w:szCs w:val="16"/>
              </w:rPr>
              <w:t>Ah</w:t>
            </w:r>
            <w:proofErr w:type="spellEnd"/>
          </w:p>
        </w:tc>
      </w:tr>
      <w:tr w:rsidR="00206BF9" w:rsidTr="00445DAD">
        <w:tc>
          <w:tcPr>
            <w:tcW w:w="4961" w:type="dxa"/>
          </w:tcPr>
          <w:p w:rsidR="00206BF9" w:rsidRPr="00445DAD" w:rsidRDefault="00206BF9">
            <w:pPr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>Włączanie sygnalizatorów czujnikiem ruchu</w:t>
            </w:r>
          </w:p>
        </w:tc>
        <w:tc>
          <w:tcPr>
            <w:tcW w:w="1701" w:type="dxa"/>
          </w:tcPr>
          <w:p w:rsidR="00206BF9" w:rsidRPr="00445DAD" w:rsidRDefault="00206BF9" w:rsidP="00445D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</w:tr>
      <w:tr w:rsidR="00206BF9" w:rsidTr="00445DAD">
        <w:tc>
          <w:tcPr>
            <w:tcW w:w="4961" w:type="dxa"/>
          </w:tcPr>
          <w:p w:rsidR="00206BF9" w:rsidRPr="00445DAD" w:rsidRDefault="00206BF9">
            <w:pPr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>Warunki pracy - temperatura</w:t>
            </w:r>
          </w:p>
        </w:tc>
        <w:tc>
          <w:tcPr>
            <w:tcW w:w="1701" w:type="dxa"/>
          </w:tcPr>
          <w:p w:rsidR="00206BF9" w:rsidRPr="00445DAD" w:rsidRDefault="00206BF9" w:rsidP="00445D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>-20°C - 45°C</w:t>
            </w:r>
          </w:p>
        </w:tc>
      </w:tr>
      <w:tr w:rsidR="00206BF9" w:rsidTr="00445DAD">
        <w:tc>
          <w:tcPr>
            <w:tcW w:w="4961" w:type="dxa"/>
          </w:tcPr>
          <w:p w:rsidR="00206BF9" w:rsidRPr="00445DAD" w:rsidRDefault="00206BF9">
            <w:pPr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>Warunki pracy - wi</w:t>
            </w:r>
            <w:r w:rsidR="00445DAD" w:rsidRPr="00445DAD">
              <w:rPr>
                <w:rFonts w:ascii="Arial" w:hAnsi="Arial" w:cs="Arial"/>
                <w:sz w:val="16"/>
                <w:szCs w:val="16"/>
              </w:rPr>
              <w:t>l</w:t>
            </w:r>
            <w:r w:rsidRPr="00445DAD">
              <w:rPr>
                <w:rFonts w:ascii="Arial" w:hAnsi="Arial" w:cs="Arial"/>
                <w:sz w:val="16"/>
                <w:szCs w:val="16"/>
              </w:rPr>
              <w:t>gotność</w:t>
            </w:r>
          </w:p>
        </w:tc>
        <w:tc>
          <w:tcPr>
            <w:tcW w:w="1701" w:type="dxa"/>
          </w:tcPr>
          <w:p w:rsidR="00206BF9" w:rsidRPr="00445DAD" w:rsidRDefault="00206BF9" w:rsidP="00445D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>10% - 95%</w:t>
            </w:r>
          </w:p>
        </w:tc>
      </w:tr>
      <w:tr w:rsidR="00206BF9" w:rsidTr="00445DAD">
        <w:tc>
          <w:tcPr>
            <w:tcW w:w="4961" w:type="dxa"/>
          </w:tcPr>
          <w:p w:rsidR="00206BF9" w:rsidRPr="00445DAD" w:rsidRDefault="00445DAD">
            <w:pPr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 xml:space="preserve">Moc modułu </w:t>
            </w:r>
            <w:proofErr w:type="spellStart"/>
            <w:r w:rsidRPr="00445DAD">
              <w:rPr>
                <w:rFonts w:ascii="Arial" w:hAnsi="Arial" w:cs="Arial"/>
                <w:sz w:val="16"/>
                <w:szCs w:val="16"/>
              </w:rPr>
              <w:t>fotowoltanicznego</w:t>
            </w:r>
            <w:proofErr w:type="spellEnd"/>
          </w:p>
        </w:tc>
        <w:tc>
          <w:tcPr>
            <w:tcW w:w="1701" w:type="dxa"/>
          </w:tcPr>
          <w:p w:rsidR="00206BF9" w:rsidRPr="00445DAD" w:rsidRDefault="00445DAD" w:rsidP="00445D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>90W</w:t>
            </w:r>
          </w:p>
        </w:tc>
      </w:tr>
      <w:tr w:rsidR="00206BF9" w:rsidTr="00445DAD">
        <w:tc>
          <w:tcPr>
            <w:tcW w:w="4961" w:type="dxa"/>
          </w:tcPr>
          <w:p w:rsidR="00206BF9" w:rsidRPr="00445DAD" w:rsidRDefault="00445DAD">
            <w:pPr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>Mikroprocesorowy regulator pracy lampy</w:t>
            </w:r>
          </w:p>
        </w:tc>
        <w:tc>
          <w:tcPr>
            <w:tcW w:w="1701" w:type="dxa"/>
          </w:tcPr>
          <w:p w:rsidR="00206BF9" w:rsidRPr="00445DAD" w:rsidRDefault="00445DAD" w:rsidP="00445D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</w:tr>
      <w:tr w:rsidR="00206BF9" w:rsidTr="00445DAD">
        <w:tc>
          <w:tcPr>
            <w:tcW w:w="4961" w:type="dxa"/>
          </w:tcPr>
          <w:p w:rsidR="00206BF9" w:rsidRPr="00445DAD" w:rsidRDefault="00445DAD">
            <w:pPr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>Czas ładowania akumulatorów - lato</w:t>
            </w:r>
          </w:p>
        </w:tc>
        <w:tc>
          <w:tcPr>
            <w:tcW w:w="1701" w:type="dxa"/>
          </w:tcPr>
          <w:p w:rsidR="00206BF9" w:rsidRPr="00445DAD" w:rsidRDefault="00445DAD" w:rsidP="00445D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>6 h</w:t>
            </w:r>
          </w:p>
        </w:tc>
      </w:tr>
      <w:tr w:rsidR="00206BF9" w:rsidTr="00445DAD">
        <w:tc>
          <w:tcPr>
            <w:tcW w:w="4961" w:type="dxa"/>
          </w:tcPr>
          <w:p w:rsidR="00206BF9" w:rsidRPr="00445DAD" w:rsidRDefault="00445DAD">
            <w:pPr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>Czas ładowania akumulatorów - zima</w:t>
            </w:r>
          </w:p>
        </w:tc>
        <w:tc>
          <w:tcPr>
            <w:tcW w:w="1701" w:type="dxa"/>
          </w:tcPr>
          <w:p w:rsidR="00206BF9" w:rsidRPr="00445DAD" w:rsidRDefault="00445DAD" w:rsidP="00445D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>12h</w:t>
            </w:r>
          </w:p>
        </w:tc>
      </w:tr>
      <w:tr w:rsidR="00206BF9" w:rsidTr="00445DAD">
        <w:tc>
          <w:tcPr>
            <w:tcW w:w="4961" w:type="dxa"/>
          </w:tcPr>
          <w:p w:rsidR="00206BF9" w:rsidRPr="00445DAD" w:rsidRDefault="00445DAD">
            <w:pPr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>Okres autonomii systemu przy naładowanych akumulatorach</w:t>
            </w:r>
          </w:p>
        </w:tc>
        <w:tc>
          <w:tcPr>
            <w:tcW w:w="1701" w:type="dxa"/>
          </w:tcPr>
          <w:p w:rsidR="00206BF9" w:rsidRPr="00445DAD" w:rsidRDefault="00445DAD" w:rsidP="00445D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>4 – 5 dni</w:t>
            </w:r>
          </w:p>
        </w:tc>
      </w:tr>
      <w:tr w:rsidR="00206BF9" w:rsidTr="00445DAD">
        <w:tc>
          <w:tcPr>
            <w:tcW w:w="4961" w:type="dxa"/>
          </w:tcPr>
          <w:p w:rsidR="00206BF9" w:rsidRPr="00445DAD" w:rsidRDefault="00445DAD">
            <w:pPr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>Kolor podstawowy</w:t>
            </w:r>
          </w:p>
        </w:tc>
        <w:tc>
          <w:tcPr>
            <w:tcW w:w="1701" w:type="dxa"/>
          </w:tcPr>
          <w:p w:rsidR="00206BF9" w:rsidRPr="00445DAD" w:rsidRDefault="00445DAD" w:rsidP="00445D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>czarny</w:t>
            </w:r>
          </w:p>
        </w:tc>
      </w:tr>
      <w:tr w:rsidR="00445DAD" w:rsidTr="00445DAD">
        <w:tc>
          <w:tcPr>
            <w:tcW w:w="4961" w:type="dxa"/>
          </w:tcPr>
          <w:p w:rsidR="00445DAD" w:rsidRPr="00445DAD" w:rsidRDefault="00445DAD">
            <w:pPr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>Fundament prefabrykowany</w:t>
            </w:r>
          </w:p>
        </w:tc>
        <w:tc>
          <w:tcPr>
            <w:tcW w:w="1701" w:type="dxa"/>
          </w:tcPr>
          <w:p w:rsidR="00445DAD" w:rsidRPr="00445DAD" w:rsidRDefault="00445DAD" w:rsidP="00445D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5DAD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</w:tr>
    </w:tbl>
    <w:p w:rsidR="00206BF9" w:rsidRDefault="00206BF9">
      <w:pPr>
        <w:rPr>
          <w:rFonts w:ascii="Arial" w:hAnsi="Arial" w:cs="Arial"/>
          <w:sz w:val="18"/>
        </w:rPr>
      </w:pPr>
    </w:p>
    <w:p w:rsidR="00445DAD" w:rsidRDefault="00445DAD">
      <w:pPr>
        <w:rPr>
          <w:rFonts w:ascii="Arial" w:hAnsi="Arial" w:cs="Arial"/>
          <w:sz w:val="18"/>
        </w:rPr>
      </w:pPr>
    </w:p>
    <w:p w:rsidR="00445DAD" w:rsidRDefault="00445DAD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Uwaga: </w:t>
      </w:r>
    </w:p>
    <w:p w:rsidR="00445DAD" w:rsidRPr="00206BF9" w:rsidRDefault="00445DAD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- dopuszcza się ustawienie znaku o parametrach zbliżonych podanych w tabeli</w:t>
      </w:r>
    </w:p>
    <w:sectPr w:rsidR="00445DAD" w:rsidRPr="00206BF9" w:rsidSect="002F7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06BF9"/>
    <w:rsid w:val="00206BF9"/>
    <w:rsid w:val="002F751E"/>
    <w:rsid w:val="00445DAD"/>
    <w:rsid w:val="005A6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5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06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2013-09-21T12:25:00Z</cp:lastPrinted>
  <dcterms:created xsi:type="dcterms:W3CDTF">2013-09-21T12:03:00Z</dcterms:created>
  <dcterms:modified xsi:type="dcterms:W3CDTF">2013-09-21T12:26:00Z</dcterms:modified>
</cp:coreProperties>
</file>